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B1CC95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0025C66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9FA1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DA1A6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F58D3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754B7C4" w14:textId="77777777"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14:paraId="679E5965" w14:textId="50CC2A9A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93827C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3D842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F89DD3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7287DF15" w14:textId="034C0EB8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AEA8FF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791B50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6A76146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7F0A54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  <w:sz w:val="22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23AFB09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044C60" w14:textId="52F9CAB1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2A550" w14:textId="53E1CB0E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BCCEDF" w14:textId="1837C15D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0E90" w14:textId="2E01C821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908413" w14:textId="15676E6F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27BDF9" w14:textId="3C046700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60210B3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84796CA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D70B592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7F29B5A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3E822B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614877B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DA1A6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DA1A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DA1A6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C9E6E0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602ED396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7CE5497" w14:textId="5A646662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464A7AC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t.j. organizačné, personálne a technické zabezpečenie </w:t>
            </w:r>
            <w:r w:rsidRPr="00385B43">
              <w:rPr>
                <w:rFonts w:ascii="Arial Narrow" w:hAnsi="Arial Narrow"/>
                <w:sz w:val="18"/>
                <w:lang w:val="sk-SK"/>
              </w:rPr>
              <w:lastRenderedPageBreak/>
              <w:t>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0C69F0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7248FD97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5358F2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7D7594C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C072F60"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8798E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157F2FC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02AF7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695B51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238B785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E54E7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F7A85C" w14:textId="5F644312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4A6BB028" w14:textId="29CC6E7A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6B9500F5" w14:textId="22B70714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AB126F5"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842139E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59CE3A09"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F765FE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310B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D88EC1E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14:paraId="6427C0CF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008579C" w14:textId="700CC9B0"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0B15F369" w14:textId="4F756273"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487657FA" w14:textId="78D719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1CD99AC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8D479A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8FA40C" w14:textId="771E7F4E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13CE38B8" w14:textId="6806D975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1AB04886" w14:textId="1E7DCC0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17636A2F"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5C043B4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F24C05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5B50C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8885B2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9F750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5F39B28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0D326D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34FE27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BB1C5A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C0E6865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E8A85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FA67" w14:textId="77777777" w:rsidR="00DA1A61" w:rsidRDefault="00DA1A61" w:rsidP="00297396">
      <w:pPr>
        <w:spacing w:after="0" w:line="240" w:lineRule="auto"/>
      </w:pPr>
      <w:r>
        <w:separator/>
      </w:r>
    </w:p>
  </w:endnote>
  <w:endnote w:type="continuationSeparator" w:id="0">
    <w:p w14:paraId="028050CF" w14:textId="77777777" w:rsidR="00DA1A61" w:rsidRDefault="00DA1A61" w:rsidP="00297396">
      <w:pPr>
        <w:spacing w:after="0" w:line="240" w:lineRule="auto"/>
      </w:pPr>
      <w:r>
        <w:continuationSeparator/>
      </w:r>
    </w:p>
  </w:endnote>
  <w:endnote w:type="continuationNotice" w:id="1">
    <w:p w14:paraId="59A5E0D5" w14:textId="77777777" w:rsidR="00DA1A61" w:rsidRDefault="00DA1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247AFC8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5DB1043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1712D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61EAB1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7E3B9" w:rsidR="00266580" w:rsidRPr="001A4E7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7B69D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01136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1712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ADC64D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E6858C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59604D2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D006F3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1712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65E2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970E6CE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846E97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3E1BCE0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1712D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555A95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E0D582B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1712D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A41C" w14:textId="77777777" w:rsidR="00DA1A61" w:rsidRDefault="00DA1A61" w:rsidP="00297396">
      <w:pPr>
        <w:spacing w:after="0" w:line="240" w:lineRule="auto"/>
      </w:pPr>
      <w:r>
        <w:separator/>
      </w:r>
    </w:p>
  </w:footnote>
  <w:footnote w:type="continuationSeparator" w:id="0">
    <w:p w14:paraId="1CF7E863" w14:textId="77777777" w:rsidR="00DA1A61" w:rsidRDefault="00DA1A61" w:rsidP="00297396">
      <w:pPr>
        <w:spacing w:after="0" w:line="240" w:lineRule="auto"/>
      </w:pPr>
      <w:r>
        <w:continuationSeparator/>
      </w:r>
    </w:p>
  </w:footnote>
  <w:footnote w:type="continuationNotice" w:id="1">
    <w:p w14:paraId="675BEDFB" w14:textId="77777777" w:rsidR="00DA1A61" w:rsidRDefault="00DA1A61">
      <w:pPr>
        <w:spacing w:after="0" w:line="240" w:lineRule="auto"/>
      </w:pPr>
    </w:p>
  </w:footnote>
  <w:footnote w:id="2">
    <w:p w14:paraId="6BBEF93C" w14:textId="109A2203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AB0E80B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3319CE26" w:rsidR="00266580" w:rsidRPr="001F013A" w:rsidRDefault="00266580" w:rsidP="000F2DA9">
    <w:pPr>
      <w:pStyle w:val="Hlavika"/>
      <w:rPr>
        <w:rFonts w:ascii="Arial Narrow" w:hAnsi="Arial Narrow"/>
        <w:sz w:val="20"/>
      </w:rPr>
    </w:pPr>
    <w:r w:rsidRPr="00393EA8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3600" behindDoc="1" locked="0" layoutInCell="1" allowOverlap="1" wp14:anchorId="0A527FFF" wp14:editId="03DB17D0">
          <wp:simplePos x="0" y="0"/>
          <wp:positionH relativeFrom="column">
            <wp:posOffset>-49530</wp:posOffset>
          </wp:positionH>
          <wp:positionV relativeFrom="paragraph">
            <wp:posOffset>-90170</wp:posOffset>
          </wp:positionV>
          <wp:extent cx="878840" cy="395605"/>
          <wp:effectExtent l="0" t="0" r="0" b="4445"/>
          <wp:wrapSquare wrapText="bothSides"/>
          <wp:docPr id="2" name="Obrázok 2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D4FD6"/>
    <w:rsid w:val="007077E9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3B1F-9443-4484-85A7-6231F13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2020-04-22T04:10:00Z</dcterms:modified>
</cp:coreProperties>
</file>